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FF" w:rsidRDefault="003C46FF" w:rsidP="003C46F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474464" cy="1063752"/>
            <wp:effectExtent l="25400" t="0" r="0" b="0"/>
            <wp:docPr id="8" name="Picture 0" descr="Cote Bonnie 3 lin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e Bonnie 3 lines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FF" w:rsidRPr="005D1AB3" w:rsidRDefault="003C46FF" w:rsidP="000F5C21">
      <w:pPr>
        <w:rPr>
          <w:b/>
          <w:sz w:val="20"/>
        </w:rPr>
      </w:pPr>
    </w:p>
    <w:p w:rsidR="00FF4D49" w:rsidRPr="005D1AB3" w:rsidRDefault="00FF4D49" w:rsidP="000F5C21">
      <w:pPr>
        <w:rPr>
          <w:b/>
          <w:sz w:val="20"/>
        </w:rPr>
      </w:pPr>
      <w:r w:rsidRPr="005D1AB3">
        <w:rPr>
          <w:b/>
          <w:noProof/>
          <w:sz w:val="20"/>
        </w:rPr>
        <w:drawing>
          <wp:anchor distT="0" distB="0" distL="68580" distR="6858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69850</wp:posOffset>
            </wp:positionV>
            <wp:extent cx="1803400" cy="3251200"/>
            <wp:effectExtent l="25400" t="0" r="0" b="0"/>
            <wp:wrapTight wrapText="bothSides">
              <wp:wrapPolygon edited="0">
                <wp:start x="-304" y="0"/>
                <wp:lineTo x="-304" y="21431"/>
                <wp:lineTo x="21600" y="21431"/>
                <wp:lineTo x="21600" y="0"/>
                <wp:lineTo x="-304" y="0"/>
              </wp:wrapPolygon>
            </wp:wrapTight>
            <wp:docPr id="1" name="" descr="2005 CB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 CB Fro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C21" w:rsidRPr="00555EE4" w:rsidRDefault="000F5C21" w:rsidP="000F5C21">
      <w:pPr>
        <w:rPr>
          <w:b/>
          <w:sz w:val="32"/>
        </w:rPr>
      </w:pPr>
      <w:r w:rsidRPr="00555EE4">
        <w:rPr>
          <w:b/>
          <w:sz w:val="32"/>
        </w:rPr>
        <w:t xml:space="preserve">2006 Côte Bonneville DuBrul Vineyard  </w:t>
      </w:r>
    </w:p>
    <w:p w:rsidR="000F5C21" w:rsidRPr="009A3ADB" w:rsidRDefault="000F5C21" w:rsidP="000F5C21">
      <w:pPr>
        <w:tabs>
          <w:tab w:val="left" w:pos="8190"/>
        </w:tabs>
        <w:ind w:right="540"/>
        <w:rPr>
          <w:sz w:val="22"/>
        </w:rPr>
      </w:pPr>
    </w:p>
    <w:p w:rsidR="000F5C21" w:rsidRPr="009A3ADB" w:rsidRDefault="000F5C21" w:rsidP="000F5C21">
      <w:pPr>
        <w:tabs>
          <w:tab w:val="left" w:pos="8190"/>
        </w:tabs>
        <w:ind w:right="540"/>
        <w:rPr>
          <w:sz w:val="22"/>
        </w:rPr>
      </w:pPr>
      <w:r w:rsidRPr="009A3ADB">
        <w:rPr>
          <w:sz w:val="22"/>
        </w:rPr>
        <w:t xml:space="preserve">In 1992 we planted DuBrul Vineyard in the Yakima Valley, Washington’s oldest appellation.  Our experienced team and spectacular site consistently produce grapes with unique flavors and structure.  </w:t>
      </w:r>
      <w:proofErr w:type="gramStart"/>
      <w:r w:rsidRPr="009A3ADB">
        <w:rPr>
          <w:sz w:val="22"/>
        </w:rPr>
        <w:t>Meticulously cared for, DuBrul Vineyard was named “Vineyard of the Year” by SEATTLE Magazine in 2007 and again in 2009.</w:t>
      </w:r>
      <w:proofErr w:type="gramEnd"/>
    </w:p>
    <w:p w:rsidR="000F5C21" w:rsidRPr="009A3ADB" w:rsidRDefault="000F5C21" w:rsidP="000F5C21">
      <w:pPr>
        <w:tabs>
          <w:tab w:val="left" w:pos="8190"/>
        </w:tabs>
        <w:ind w:right="540"/>
        <w:rPr>
          <w:sz w:val="22"/>
        </w:rPr>
      </w:pPr>
    </w:p>
    <w:p w:rsidR="000F5C21" w:rsidRPr="009A3ADB" w:rsidRDefault="000F5C21" w:rsidP="000F5C21">
      <w:pPr>
        <w:tabs>
          <w:tab w:val="left" w:pos="8190"/>
        </w:tabs>
        <w:ind w:right="540"/>
        <w:rPr>
          <w:sz w:val="22"/>
        </w:rPr>
      </w:pPr>
      <w:r w:rsidRPr="009A3ADB">
        <w:rPr>
          <w:sz w:val="22"/>
        </w:rPr>
        <w:t>Côte Bonneville was founded in 2001 to create wines that best express our spectacular site each vintage year.  By combining traditional winemaking techniques with cutting-edge science, we craft estate-grown grapes into world-class wines.</w:t>
      </w:r>
    </w:p>
    <w:p w:rsidR="000F5C21" w:rsidRPr="009A3ADB" w:rsidRDefault="000F5C21" w:rsidP="000F5C21">
      <w:pPr>
        <w:tabs>
          <w:tab w:val="left" w:pos="8190"/>
        </w:tabs>
        <w:ind w:right="540"/>
        <w:rPr>
          <w:sz w:val="22"/>
        </w:rPr>
      </w:pPr>
    </w:p>
    <w:p w:rsidR="000F5C21" w:rsidRPr="00555EE4" w:rsidRDefault="000F5C21" w:rsidP="000F5C21">
      <w:pPr>
        <w:rPr>
          <w:b/>
        </w:rPr>
      </w:pPr>
      <w:r w:rsidRPr="00555EE4">
        <w:rPr>
          <w:b/>
        </w:rPr>
        <w:t>Tasting Notes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</w:p>
    <w:p w:rsidR="000F5C21" w:rsidRPr="009A3ADB" w:rsidRDefault="000F5C21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>The 2006 Côte Bonneville DuBrul Vineyard represents the best expression</w:t>
      </w:r>
      <w:r w:rsidR="00555EE4" w:rsidRPr="009A3ADB">
        <w:rPr>
          <w:rFonts w:eastAsia="ヒラギノ角ゴ ProN W3"/>
          <w:sz w:val="22"/>
        </w:rPr>
        <w:t xml:space="preserve"> of these 15-year-old vines.  </w:t>
      </w:r>
      <w:r w:rsidRPr="009A3ADB">
        <w:rPr>
          <w:rFonts w:eastAsia="ヒラギノ角ゴ ProN W3"/>
          <w:sz w:val="22"/>
        </w:rPr>
        <w:t xml:space="preserve">2006 provided a growing season of normalcy, following the heat of ’03, the cooler ’04, and the drought of ’05.  The </w:t>
      </w:r>
      <w:r w:rsidRPr="009A3ADB">
        <w:rPr>
          <w:rFonts w:eastAsia="ヒラギノ角ゴ ProN W3"/>
          <w:b/>
          <w:sz w:val="22"/>
        </w:rPr>
        <w:t>hillside</w:t>
      </w:r>
      <w:r w:rsidRPr="009A3ADB">
        <w:rPr>
          <w:rFonts w:eastAsia="ヒラギノ角ゴ ProN W3"/>
          <w:sz w:val="22"/>
        </w:rPr>
        <w:t xml:space="preserve"> vines responded beautifully, providing a </w:t>
      </w:r>
      <w:r w:rsidRPr="009A3ADB">
        <w:rPr>
          <w:rFonts w:eastAsia="ヒラギノ角ゴ ProN W3"/>
          <w:b/>
          <w:sz w:val="22"/>
        </w:rPr>
        <w:t>classic statement</w:t>
      </w:r>
      <w:r w:rsidRPr="009A3ADB">
        <w:rPr>
          <w:rFonts w:eastAsia="ヒラギノ角ゴ ProN W3"/>
          <w:sz w:val="22"/>
        </w:rPr>
        <w:t xml:space="preserve"> of our DuBrul Vineyard.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</w:p>
    <w:p w:rsidR="00963998" w:rsidRDefault="000F5C21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 xml:space="preserve">The wine is deep garnet in color, with a nose of exotic spice, deep cassis and cherry, with Kahlua undertones.  Flavors of cherry, blackberry, raspberry, espresso and cocoa, backed by exotic spices including </w:t>
      </w:r>
      <w:r w:rsidR="00490E65" w:rsidRPr="009A3ADB">
        <w:rPr>
          <w:rFonts w:eastAsia="ヒラギノ角ゴ ProN W3"/>
          <w:sz w:val="22"/>
        </w:rPr>
        <w:t xml:space="preserve">Indian </w:t>
      </w:r>
      <w:r w:rsidRPr="009A3ADB">
        <w:rPr>
          <w:rFonts w:eastAsia="ヒラギノ角ゴ ProN W3"/>
          <w:sz w:val="22"/>
        </w:rPr>
        <w:t xml:space="preserve">long pepper are </w:t>
      </w:r>
      <w:r w:rsidRPr="009A3ADB">
        <w:rPr>
          <w:rFonts w:eastAsia="ヒラギノ角ゴ ProN W3"/>
          <w:b/>
          <w:sz w:val="22"/>
        </w:rPr>
        <w:t>well integrated</w:t>
      </w:r>
      <w:r w:rsidRPr="009A3ADB">
        <w:rPr>
          <w:rFonts w:eastAsia="ヒラギノ角ゴ ProN W3"/>
          <w:sz w:val="22"/>
        </w:rPr>
        <w:t xml:space="preserve">, palate coating, with the signature DuBrul </w:t>
      </w:r>
      <w:r w:rsidRPr="009A3ADB">
        <w:rPr>
          <w:rFonts w:eastAsia="ヒラギノ角ゴ ProN W3"/>
          <w:b/>
          <w:sz w:val="22"/>
        </w:rPr>
        <w:t>length of finish</w:t>
      </w:r>
      <w:r w:rsidRPr="009A3ADB">
        <w:rPr>
          <w:rFonts w:eastAsia="ヒラギノ角ゴ ProN W3"/>
          <w:sz w:val="22"/>
        </w:rPr>
        <w:t xml:space="preserve">. </w:t>
      </w:r>
    </w:p>
    <w:p w:rsidR="00963998" w:rsidRDefault="00963998" w:rsidP="00963998">
      <w:pPr>
        <w:rPr>
          <w:rFonts w:eastAsia="ヒラギノ角ゴ ProN W3"/>
          <w:sz w:val="22"/>
        </w:rPr>
      </w:pPr>
    </w:p>
    <w:p w:rsidR="00963998" w:rsidRDefault="00963998" w:rsidP="00963998">
      <w:pPr>
        <w:tabs>
          <w:tab w:val="left" w:pos="720"/>
          <w:tab w:val="left" w:pos="2880"/>
          <w:tab w:val="left" w:pos="4320"/>
        </w:tabs>
        <w:rPr>
          <w:rFonts w:eastAsia="ヒラギノ角ゴ ProN W3"/>
          <w:sz w:val="22"/>
        </w:rPr>
      </w:pPr>
      <w:r>
        <w:rPr>
          <w:rFonts w:eastAsia="ヒラギノ角ゴ ProN W3"/>
          <w:sz w:val="22"/>
        </w:rPr>
        <w:t>Scores include 95 pts WS, 91 pts WA, 94 pts WE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</w:p>
    <w:p w:rsidR="00555EE4" w:rsidRDefault="000F5C21" w:rsidP="000F5C21">
      <w:pPr>
        <w:rPr>
          <w:b/>
        </w:rPr>
      </w:pPr>
      <w:r w:rsidRPr="00555EE4">
        <w:rPr>
          <w:b/>
        </w:rPr>
        <w:t>Soils</w:t>
      </w:r>
    </w:p>
    <w:p w:rsidR="000F5C21" w:rsidRPr="009A3ADB" w:rsidRDefault="000F5C21" w:rsidP="000F5C21">
      <w:pPr>
        <w:rPr>
          <w:b/>
          <w:sz w:val="22"/>
        </w:rPr>
      </w:pPr>
    </w:p>
    <w:p w:rsidR="00F240FD" w:rsidRPr="004A7F34" w:rsidRDefault="00F240FD" w:rsidP="00F240FD">
      <w:pPr>
        <w:rPr>
          <w:sz w:val="22"/>
        </w:rPr>
      </w:pPr>
      <w:r w:rsidRPr="004A7F34">
        <w:rPr>
          <w:sz w:val="22"/>
        </w:rPr>
        <w:t xml:space="preserve">On a </w:t>
      </w:r>
      <w:r w:rsidRPr="004A7F34">
        <w:rPr>
          <w:b/>
          <w:sz w:val="22"/>
        </w:rPr>
        <w:t xml:space="preserve">steep rocky </w:t>
      </w:r>
      <w:proofErr w:type="gramStart"/>
      <w:r w:rsidRPr="004A7F34">
        <w:rPr>
          <w:b/>
          <w:sz w:val="22"/>
        </w:rPr>
        <w:t>south facing</w:t>
      </w:r>
      <w:proofErr w:type="gramEnd"/>
      <w:r w:rsidRPr="004A7F34">
        <w:rPr>
          <w:b/>
          <w:sz w:val="22"/>
        </w:rPr>
        <w:t xml:space="preserve"> hillside</w:t>
      </w:r>
      <w:r w:rsidRPr="004A7F34">
        <w:rPr>
          <w:sz w:val="22"/>
        </w:rPr>
        <w:t xml:space="preserve"> overlooking the Yakima Valley, our Cabernet Sauvignon vines grow in shallow Scoon soils.  These were formed in wind-driven </w:t>
      </w:r>
      <w:r>
        <w:rPr>
          <w:sz w:val="22"/>
        </w:rPr>
        <w:t>loess and heterogeneous rock deposited by the ancient Columbia River</w:t>
      </w:r>
      <w:r w:rsidRPr="004A7F34">
        <w:rPr>
          <w:sz w:val="22"/>
        </w:rPr>
        <w:t xml:space="preserve">, which covers the underlying basalt promontory.  Available </w:t>
      </w:r>
      <w:r w:rsidRPr="004A7F34">
        <w:rPr>
          <w:b/>
          <w:sz w:val="22"/>
        </w:rPr>
        <w:t>water capacity is low</w:t>
      </w:r>
      <w:r w:rsidRPr="004A7F34">
        <w:rPr>
          <w:sz w:val="22"/>
        </w:rPr>
        <w:t xml:space="preserve">, producing small clusters and small berries of </w:t>
      </w:r>
      <w:r w:rsidRPr="004A7F34">
        <w:rPr>
          <w:b/>
          <w:sz w:val="22"/>
        </w:rPr>
        <w:t>intense fruit</w:t>
      </w:r>
      <w:r w:rsidRPr="004A7F34">
        <w:rPr>
          <w:sz w:val="22"/>
        </w:rPr>
        <w:t>.  The planting is at 1300 feet elevation, on an 8-15% pitch.</w:t>
      </w:r>
    </w:p>
    <w:p w:rsidR="00F240FD" w:rsidRPr="004A7F34" w:rsidRDefault="00F240FD" w:rsidP="00F240FD">
      <w:pPr>
        <w:rPr>
          <w:sz w:val="22"/>
        </w:rPr>
      </w:pPr>
    </w:p>
    <w:p w:rsidR="00F240FD" w:rsidRDefault="00F240FD" w:rsidP="00F240FD">
      <w:pPr>
        <w:rPr>
          <w:sz w:val="22"/>
        </w:rPr>
      </w:pPr>
      <w:r w:rsidRPr="004A7F34">
        <w:rPr>
          <w:sz w:val="22"/>
        </w:rPr>
        <w:t xml:space="preserve">Just downslope from the Cabernet Sauvignon vines, at a gentler (5-8%) gradient, grow the Merlot vines.  The soils are similar, shallow Scoon silt loam, underlain by basalt, with low available water capacity.  These </w:t>
      </w:r>
      <w:r w:rsidRPr="004A7F34">
        <w:rPr>
          <w:b/>
          <w:sz w:val="22"/>
        </w:rPr>
        <w:t>low yielding vines</w:t>
      </w:r>
      <w:r w:rsidRPr="004A7F34">
        <w:rPr>
          <w:sz w:val="22"/>
        </w:rPr>
        <w:t xml:space="preserve"> produce muscular Merlot.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</w:p>
    <w:p w:rsidR="000F5C21" w:rsidRPr="00555EE4" w:rsidRDefault="000F5C21" w:rsidP="000F5C21">
      <w:pPr>
        <w:rPr>
          <w:b/>
        </w:rPr>
      </w:pPr>
      <w:r w:rsidRPr="00555EE4">
        <w:rPr>
          <w:b/>
        </w:rPr>
        <w:t>Technical Data</w:t>
      </w:r>
    </w:p>
    <w:p w:rsidR="00555EE4" w:rsidRPr="009A3ADB" w:rsidRDefault="00555EE4" w:rsidP="000F5C21">
      <w:pPr>
        <w:rPr>
          <w:rFonts w:eastAsia="ヒラギノ角ゴ ProN W3"/>
          <w:sz w:val="22"/>
        </w:rPr>
      </w:pPr>
    </w:p>
    <w:p w:rsidR="000F5C21" w:rsidRPr="009A3ADB" w:rsidRDefault="00555EE4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 xml:space="preserve">Small </w:t>
      </w:r>
      <w:r w:rsidR="00490E65" w:rsidRPr="009A3ADB">
        <w:rPr>
          <w:rFonts w:eastAsia="ヒラギノ角ゴ ProN W3"/>
          <w:sz w:val="22"/>
        </w:rPr>
        <w:t>lot fermentations in one</w:t>
      </w:r>
      <w:r w:rsidRPr="009A3ADB">
        <w:rPr>
          <w:rFonts w:eastAsia="ヒラギノ角ゴ ProN W3"/>
          <w:sz w:val="22"/>
        </w:rPr>
        <w:t xml:space="preserve"> ton fermentors</w:t>
      </w:r>
      <w:r w:rsidR="00490E65" w:rsidRPr="009A3ADB">
        <w:rPr>
          <w:rFonts w:eastAsia="ヒラギノ角ゴ ProN W3"/>
          <w:sz w:val="22"/>
        </w:rPr>
        <w:t>, punched down by hand</w:t>
      </w:r>
    </w:p>
    <w:p w:rsidR="00555EE4" w:rsidRPr="009A3ADB" w:rsidRDefault="000F5C21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>French Oak Aging: 2</w:t>
      </w:r>
      <w:r w:rsidR="00490E65" w:rsidRPr="009A3ADB">
        <w:rPr>
          <w:rFonts w:eastAsia="ヒラギノ角ゴ ProN W3"/>
          <w:sz w:val="22"/>
        </w:rPr>
        <w:t>3</w:t>
      </w:r>
      <w:r w:rsidRPr="009A3ADB">
        <w:rPr>
          <w:rFonts w:eastAsia="ヒラギノ角ゴ ProN W3"/>
          <w:sz w:val="22"/>
        </w:rPr>
        <w:t xml:space="preserve"> months in 100% new French oak cooperage.  </w:t>
      </w:r>
    </w:p>
    <w:p w:rsidR="000F5C21" w:rsidRPr="009A3ADB" w:rsidRDefault="00555EE4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 xml:space="preserve">Blend: 65% Cabernet Sauvignon, 35% Merlot 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  <w:proofErr w:type="gramStart"/>
      <w:r w:rsidRPr="009A3ADB">
        <w:rPr>
          <w:rFonts w:eastAsia="ヒラギノ角ゴ ProN W3"/>
          <w:sz w:val="22"/>
        </w:rPr>
        <w:t>pH</w:t>
      </w:r>
      <w:proofErr w:type="gramEnd"/>
      <w:r w:rsidRPr="009A3ADB">
        <w:rPr>
          <w:rFonts w:eastAsia="ヒラギノ角ゴ ProN W3"/>
          <w:sz w:val="22"/>
        </w:rPr>
        <w:t>: 3.53</w:t>
      </w:r>
    </w:p>
    <w:p w:rsidR="000F5C21" w:rsidRPr="009A3ADB" w:rsidRDefault="000F5C21" w:rsidP="000F5C21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>Titrable Acidity: 5.9 g/100 mL</w:t>
      </w:r>
    </w:p>
    <w:p w:rsidR="00490E65" w:rsidRPr="009A3ADB" w:rsidRDefault="00490E65" w:rsidP="00490E65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>Alcohol: 14.5%</w:t>
      </w:r>
    </w:p>
    <w:p w:rsidR="005D1AB3" w:rsidRDefault="000F5C21" w:rsidP="005D1AB3">
      <w:pPr>
        <w:rPr>
          <w:rFonts w:eastAsia="ヒラギノ角ゴ ProN W3"/>
          <w:sz w:val="22"/>
        </w:rPr>
      </w:pPr>
      <w:r w:rsidRPr="009A3ADB">
        <w:rPr>
          <w:rFonts w:eastAsia="ヒラギノ角ゴ ProN W3"/>
          <w:sz w:val="22"/>
        </w:rPr>
        <w:t>Cases Produced: 500</w:t>
      </w:r>
      <w:r w:rsidR="005D1AB3" w:rsidRPr="005D1AB3">
        <w:rPr>
          <w:rFonts w:eastAsia="ヒラギノ角ゴ ProN W3"/>
          <w:sz w:val="22"/>
        </w:rPr>
        <w:t xml:space="preserve"> </w:t>
      </w:r>
    </w:p>
    <w:p w:rsidR="005D1AB3" w:rsidRPr="009A3ADB" w:rsidRDefault="005D1AB3" w:rsidP="005D1AB3">
      <w:pPr>
        <w:rPr>
          <w:rFonts w:eastAsia="ヒラギノ角ゴ ProN W3"/>
          <w:sz w:val="22"/>
        </w:rPr>
      </w:pPr>
    </w:p>
    <w:p w:rsidR="000F5C21" w:rsidRPr="009A3ADB" w:rsidRDefault="000F5C21" w:rsidP="000F5C21">
      <w:pPr>
        <w:rPr>
          <w:rFonts w:eastAsia="ヒラギノ角ゴ ProN W3"/>
          <w:sz w:val="22"/>
        </w:rPr>
      </w:pPr>
    </w:p>
    <w:sectPr w:rsidR="000F5C21" w:rsidRPr="009A3ADB" w:rsidSect="005D1AB3">
      <w:pgSz w:w="12240" w:h="15840"/>
      <w:pgMar w:top="360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E43"/>
    <w:rsid w:val="000F5C21"/>
    <w:rsid w:val="00245DC7"/>
    <w:rsid w:val="003A466A"/>
    <w:rsid w:val="003B0996"/>
    <w:rsid w:val="003C46FF"/>
    <w:rsid w:val="003D7EE2"/>
    <w:rsid w:val="003F3F64"/>
    <w:rsid w:val="00422249"/>
    <w:rsid w:val="00490E65"/>
    <w:rsid w:val="00494D51"/>
    <w:rsid w:val="00555EE4"/>
    <w:rsid w:val="005D1AB3"/>
    <w:rsid w:val="005E2ED0"/>
    <w:rsid w:val="00883BCB"/>
    <w:rsid w:val="008B6E43"/>
    <w:rsid w:val="00963998"/>
    <w:rsid w:val="0099273D"/>
    <w:rsid w:val="009A3ADB"/>
    <w:rsid w:val="009D2312"/>
    <w:rsid w:val="00A2445B"/>
    <w:rsid w:val="00B234F5"/>
    <w:rsid w:val="00D87EC8"/>
    <w:rsid w:val="00DE0827"/>
    <w:rsid w:val="00F240FD"/>
    <w:rsid w:val="00F73518"/>
    <w:rsid w:val="00F95EEA"/>
    <w:rsid w:val="00FA7133"/>
    <w:rsid w:val="00FF4D49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10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1830</Characters>
  <Application>Microsoft Macintosh Word</Application>
  <DocSecurity>0</DocSecurity>
  <Lines>15</Lines>
  <Paragraphs>3</Paragraphs>
  <ScaleCrop>false</ScaleCrop>
  <Company>Côte Bonneville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Shiels</dc:creator>
  <cp:keywords/>
  <cp:lastModifiedBy>Kathy Shiels</cp:lastModifiedBy>
  <cp:revision>14</cp:revision>
  <cp:lastPrinted>2012-02-28T19:22:00Z</cp:lastPrinted>
  <dcterms:created xsi:type="dcterms:W3CDTF">2012-02-16T04:18:00Z</dcterms:created>
  <dcterms:modified xsi:type="dcterms:W3CDTF">2014-03-17T17:39:00Z</dcterms:modified>
</cp:coreProperties>
</file>